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Changé aeroport 34,04 100€ (30 commission)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Cartes sim 1000nt chacun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Train 79,99€ 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Dîner thai 681NT A la Main Station 1er etage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Bol soupe 32NT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avril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Réveil 8h45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Land bank 34.1 500€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Mémorial jardin du musee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Mémorial chiant kai shek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Restaurant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18H30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 Nous faisons la queue avec le numéro cent quarante et un certains autres avec le numéro cent trente-et-un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19h Nous pouvons commander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Buble tea 236NT spécialité de la maison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Retour dîner petit restau local dumping 135NT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7 11 achats pdej soupe jus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11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Ril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Avril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Neuf heures départ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9h30 au palais présidentiel début de la visite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onze heures quinze fin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